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黑体"/>
          <w:b/>
          <w:bCs/>
          <w:color w:val="000000"/>
          <w:w w:val="90"/>
          <w:sz w:val="44"/>
          <w:szCs w:val="44"/>
        </w:rPr>
      </w:pPr>
    </w:p>
    <w:p>
      <w:pPr>
        <w:widowControl w:val="0"/>
        <w:spacing w:before="468" w:beforeLines="150" w:after="468" w:afterLines="15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</w:pPr>
      <w:bookmarkStart w:id="0" w:name="_Toc16602"/>
      <w:r>
        <w:rPr>
          <w:rFonts w:hint="eastAsia" w:ascii="方正小标宋简体" w:hAnsi="方正小标宋简体" w:eastAsia="方正小标宋简体" w:cs="方正小标宋简体"/>
          <w:b/>
          <w:kern w:val="2"/>
          <w:sz w:val="52"/>
          <w:szCs w:val="52"/>
        </w:rPr>
        <w:t>山东济钢环保新材料有限公司</w:t>
      </w:r>
      <w:bookmarkEnd w:id="0"/>
    </w:p>
    <w:p>
      <w:pPr>
        <w:spacing w:line="300" w:lineRule="auto"/>
        <w:jc w:val="center"/>
        <w:outlineLvl w:val="0"/>
        <w:rPr>
          <w:rFonts w:hint="eastAsia" w:cs="宋体"/>
          <w:b/>
          <w:kern w:val="2"/>
          <w:sz w:val="52"/>
          <w:szCs w:val="52"/>
          <w:lang w:val="en-US" w:eastAsia="zh-CN"/>
        </w:rPr>
      </w:pPr>
      <w:bookmarkStart w:id="1" w:name="_Toc23799"/>
      <w:r>
        <w:rPr>
          <w:rFonts w:hint="eastAsia" w:cs="宋体"/>
          <w:b/>
          <w:kern w:val="2"/>
          <w:sz w:val="52"/>
          <w:szCs w:val="52"/>
          <w:lang w:val="en-US" w:eastAsia="zh-CN"/>
        </w:rPr>
        <w:t>东矿区</w:t>
      </w:r>
      <w:bookmarkEnd w:id="1"/>
      <w:r>
        <w:rPr>
          <w:rFonts w:hint="eastAsia" w:cs="宋体"/>
          <w:b/>
          <w:kern w:val="2"/>
          <w:sz w:val="52"/>
          <w:szCs w:val="52"/>
          <w:lang w:val="en-US" w:eastAsia="zh-CN"/>
        </w:rPr>
        <w:t>发货用电、监控、网络</w:t>
      </w:r>
    </w:p>
    <w:p>
      <w:pPr>
        <w:spacing w:line="300" w:lineRule="auto"/>
        <w:jc w:val="center"/>
        <w:outlineLvl w:val="0"/>
        <w:rPr>
          <w:rFonts w:hint="default" w:cs="宋体"/>
          <w:b/>
          <w:kern w:val="2"/>
          <w:sz w:val="52"/>
          <w:szCs w:val="52"/>
          <w:lang w:val="en-US" w:eastAsia="zh-CN"/>
        </w:rPr>
      </w:pPr>
      <w:r>
        <w:rPr>
          <w:rFonts w:hint="eastAsia" w:cs="宋体"/>
          <w:b/>
          <w:kern w:val="2"/>
          <w:sz w:val="52"/>
          <w:szCs w:val="52"/>
          <w:lang w:val="en-US" w:eastAsia="zh-CN"/>
        </w:rPr>
        <w:t>项目采购</w:t>
      </w:r>
    </w:p>
    <w:p>
      <w:pPr>
        <w:spacing w:line="300" w:lineRule="auto"/>
        <w:jc w:val="center"/>
        <w:outlineLvl w:val="0"/>
        <w:rPr>
          <w:rFonts w:hint="default" w:cs="宋体"/>
          <w:b/>
          <w:kern w:val="2"/>
          <w:sz w:val="52"/>
          <w:szCs w:val="52"/>
          <w:lang w:val="en-US" w:eastAsia="zh-CN"/>
        </w:rPr>
      </w:pPr>
      <w:bookmarkStart w:id="2" w:name="_Toc12660"/>
      <w:r>
        <w:rPr>
          <w:rFonts w:hint="eastAsia" w:cs="宋体"/>
          <w:b/>
          <w:kern w:val="2"/>
          <w:sz w:val="52"/>
          <w:szCs w:val="52"/>
          <w:lang w:val="en-US" w:eastAsia="zh-CN"/>
        </w:rPr>
        <w:t>竞争性谈判</w:t>
      </w:r>
      <w:bookmarkEnd w:id="2"/>
      <w:r>
        <w:rPr>
          <w:rFonts w:hint="eastAsia" w:cs="宋体"/>
          <w:b/>
          <w:kern w:val="2"/>
          <w:sz w:val="52"/>
          <w:szCs w:val="52"/>
          <w:lang w:val="en-US" w:eastAsia="zh-CN"/>
        </w:rPr>
        <w:t>邀请书</w:t>
      </w:r>
    </w:p>
    <w:p>
      <w:pPr>
        <w:spacing w:line="300" w:lineRule="auto"/>
        <w:ind w:firstLine="6401" w:firstLineChars="144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spacing w:line="300" w:lineRule="auto"/>
        <w:ind w:firstLine="5288" w:firstLineChars="1646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u w:val="single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pStyle w:val="12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tabs>
          <w:tab w:val="left" w:pos="1134"/>
          <w:tab w:val="left" w:pos="5481"/>
          <w:tab w:val="left" w:pos="5859"/>
        </w:tabs>
        <w:spacing w:line="300" w:lineRule="auto"/>
        <w:rPr>
          <w:rFonts w:hint="eastAsia" w:ascii="方正小标宋简体" w:hAnsi="方正小标宋简体" w:eastAsia="方正小标宋简体" w:cs="方正小标宋简体"/>
          <w:b/>
          <w:color w:val="000000"/>
          <w:sz w:val="28"/>
          <w:szCs w:val="28"/>
        </w:rPr>
      </w:pPr>
    </w:p>
    <w:p>
      <w:pPr>
        <w:spacing w:line="300" w:lineRule="auto"/>
        <w:ind w:firstLine="560" w:firstLineChars="200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 xml:space="preserve">    </w:t>
      </w:r>
      <w:bookmarkStart w:id="3" w:name="_Toc1074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人：山东济钢环保新材料有限公司</w:t>
      </w:r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 xml:space="preserve"> </w:t>
      </w:r>
    </w:p>
    <w:p>
      <w:pPr>
        <w:pStyle w:val="13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8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8"/>
          <w:sz w:val="32"/>
          <w:szCs w:val="32"/>
          <w:highlight w:val="none"/>
          <w:lang w:val="en-US" w:eastAsia="zh-CN"/>
        </w:rPr>
        <w:t>2024年7月8日</w:t>
      </w:r>
    </w:p>
    <w:p>
      <w:pPr>
        <w:spacing w:line="300" w:lineRule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00" w:lineRule="auto"/>
        <w:jc w:val="center"/>
        <w:outlineLvl w:val="0"/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</w:pPr>
      <w:bookmarkStart w:id="4" w:name="_Toc31555"/>
      <w:r>
        <w:rPr>
          <w:rFonts w:hint="eastAsia" w:ascii="黑体" w:hAnsi="黑体" w:eastAsia="黑体"/>
          <w:b/>
          <w:color w:val="000000"/>
          <w:sz w:val="36"/>
          <w:szCs w:val="36"/>
        </w:rPr>
        <w:t>第一章</w:t>
      </w:r>
      <w:r>
        <w:rPr>
          <w:rFonts w:ascii="黑体" w:hAnsi="黑体" w:eastAsia="黑体"/>
          <w:b/>
          <w:color w:val="000000"/>
          <w:sz w:val="36"/>
          <w:szCs w:val="36"/>
        </w:rPr>
        <w:t xml:space="preserve"> </w:t>
      </w:r>
      <w:bookmarkStart w:id="5" w:name="_Toc446434284"/>
      <w:bookmarkEnd w:id="5"/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竞争性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谈判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邀请书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一、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采购</w:t>
      </w:r>
      <w:r>
        <w:rPr>
          <w:rFonts w:cs="Times New Roman"/>
          <w:b/>
          <w:bCs/>
          <w:kern w:val="2"/>
          <w:szCs w:val="22"/>
        </w:rPr>
        <w:t>编号：</w:t>
      </w:r>
      <w:bookmarkStart w:id="7" w:name="_GoBack"/>
      <w:r>
        <w:rPr>
          <w:rFonts w:hint="eastAsia" w:cs="Times New Roman"/>
          <w:b/>
          <w:bCs/>
          <w:kern w:val="2"/>
          <w:szCs w:val="22"/>
          <w:lang w:val="en-US" w:eastAsia="zh-CN"/>
        </w:rPr>
        <w:fldChar w:fldCharType="begin"/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instrText xml:space="preserve"> HYPERLINK "javascript:__doPostBack('LinkButton2','')" </w:instrTex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fldChar w:fldCharType="separate"/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1173240708001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fldChar w:fldCharType="end"/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 xml:space="preserve"> 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二、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采购项目</w:t>
      </w:r>
      <w:r>
        <w:rPr>
          <w:rFonts w:cs="Times New Roman"/>
          <w:b/>
          <w:bCs/>
          <w:kern w:val="2"/>
          <w:szCs w:val="22"/>
        </w:rPr>
        <w:t>名称：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山东济钢环保新材料有限公司东矿区发货用电、监控、网络项目采购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0" w:firstLineChars="0"/>
        <w:jc w:val="left"/>
        <w:textAlignment w:val="auto"/>
        <w:rPr>
          <w:rFonts w:hint="default" w:cs="Times New Roman"/>
          <w:b/>
          <w:bCs/>
          <w:kern w:val="2"/>
          <w:szCs w:val="22"/>
          <w:lang w:val="en-US" w:eastAsia="zh-CN"/>
        </w:rPr>
      </w:pPr>
      <w:r>
        <w:rPr>
          <w:rFonts w:cs="Times New Roman"/>
          <w:b/>
          <w:bCs/>
          <w:kern w:val="2"/>
          <w:szCs w:val="22"/>
        </w:rPr>
        <w:t>三、</w:t>
      </w:r>
      <w:r>
        <w:rPr>
          <w:rFonts w:hint="eastAsia"/>
          <w:b/>
          <w:bCs/>
          <w:kern w:val="2"/>
          <w:szCs w:val="22"/>
          <w:lang w:val="zh-CN"/>
        </w:rPr>
        <w:t>项目概况与</w:t>
      </w:r>
      <w:r>
        <w:rPr>
          <w:rFonts w:hint="eastAsia"/>
          <w:b/>
          <w:bCs/>
          <w:kern w:val="2"/>
          <w:szCs w:val="22"/>
          <w:lang w:val="en-US" w:eastAsia="zh-CN"/>
        </w:rPr>
        <w:t>采购范围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24" w:firstLineChars="177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1、项目概况：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山东济钢环保新材料有限公司拥有较完善的网络系统，现有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1套</w:t>
      </w:r>
      <w:r>
        <w:rPr>
          <w:rFonts w:hint="eastAsia" w:ascii="宋体" w:hAnsi="宋体" w:eastAsia="宋体" w:cs="宋体"/>
          <w:sz w:val="24"/>
          <w:highlight w:val="none"/>
        </w:rPr>
        <w:t>海康安防监控平台iSecure Center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套车辆识别</w:t>
      </w:r>
      <w:r>
        <w:rPr>
          <w:rFonts w:hint="eastAsia" w:ascii="宋体" w:hAnsi="宋体" w:cs="宋体"/>
          <w:kern w:val="0"/>
          <w:sz w:val="24"/>
          <w:lang w:val="en-US" w:eastAsia="zh-CN"/>
        </w:rPr>
        <w:t>设备</w:t>
      </w:r>
      <w:r>
        <w:rPr>
          <w:rFonts w:hint="eastAsia" w:ascii="宋体" w:hAnsi="宋体" w:cs="宋体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由1套车辆管理系统实现了小车/物流车辆按权限进出的统一管理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东矿区</w:t>
      </w:r>
      <w:r>
        <w:rPr>
          <w:rFonts w:hint="eastAsia" w:ascii="宋体" w:hAnsi="宋体" w:eastAsia="宋体" w:cs="宋体"/>
          <w:kern w:val="0"/>
          <w:sz w:val="24"/>
        </w:rPr>
        <w:t>二期建设项目即将开展基建工作，为保证矿山基建期间物料的安全、高效运输，拟新建东矿区南线/北线双向车牌识别系统各1套、球机监控5套、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IP</w:t>
      </w:r>
      <w:r>
        <w:rPr>
          <w:rFonts w:hint="eastAsia" w:ascii="宋体" w:hAnsi="宋体" w:eastAsia="宋体" w:cs="宋体"/>
          <w:kern w:val="0"/>
          <w:sz w:val="24"/>
        </w:rPr>
        <w:t>语音对讲5套、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供电设备、LED太阳能路灯及</w:t>
      </w:r>
      <w:r>
        <w:rPr>
          <w:rFonts w:hint="eastAsia" w:ascii="宋体" w:hAnsi="宋体" w:eastAsia="宋体" w:cs="宋体"/>
          <w:kern w:val="0"/>
          <w:sz w:val="24"/>
        </w:rPr>
        <w:t>园区南门门禁系统迁移等项目</w:t>
      </w:r>
      <w:r>
        <w:rPr>
          <w:rFonts w:hint="eastAsia" w:ascii="宋体" w:hAnsi="宋体" w:cs="宋体"/>
          <w:kern w:val="0"/>
          <w:sz w:val="24"/>
          <w:lang w:val="en-US" w:eastAsia="zh-CN"/>
        </w:rPr>
        <w:t>实施采购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</w:rPr>
        <w:t>2、招标范围：</w:t>
      </w:r>
    </w:p>
    <w:tbl>
      <w:tblPr>
        <w:tblStyle w:val="7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10"/>
        <w:gridCol w:w="740"/>
        <w:gridCol w:w="760"/>
        <w:gridCol w:w="5205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5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描述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车牌识别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设备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新增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东矿区南线/北线对开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道闸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1.5S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、触发/防砸雷达、进出口车牌识别摄像机等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含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园区南门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车牌识别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及门禁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设备移机调试等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详细信息见第五章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发电机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含10kW/220V柴油发电机；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UPS电源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1kVA UPS（供电时间不低于8小时）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远程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IP语音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对讲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设备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东矿区南线/北线值班室、生产指挥中心、物流调度、矿山大门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值班室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球机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监控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4套高清球机监控；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含监控授权、安装调试（并入现有海康安防监控平台iSecure Center）等。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移动式风电互补球机监控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1套12V/500AH移动式风电互补太阳高清球机监控；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含监控授权、安装调试（并入现有海康安防监控平台iSecure Center）等。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Led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太阳能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路灯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100W，单灯头，H≥8米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阴雨天使用不低于2天；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含基础制作及安装等。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太阳能投光灯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200W,双灯头，H=3米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含基础制作及安装等。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值班室配套设备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电线杆、室内配电箱、电水壶、LED投光灯等。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空调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  <w:t>2P挂机、冷暖变频；</w:t>
            </w:r>
          </w:p>
        </w:tc>
        <w:tc>
          <w:tcPr>
            <w:tcW w:w="71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软件开发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含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编辑器1套；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现有车辆管理系统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软件的开发、调试等。</w:t>
            </w:r>
          </w:p>
        </w:tc>
        <w:tc>
          <w:tcPr>
            <w:tcW w:w="7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投标方所提供集成后的车辆管理系统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软件</w:t>
      </w:r>
      <w:r>
        <w:rPr>
          <w:rFonts w:hint="eastAsia" w:ascii="宋体" w:hAnsi="宋体" w:eastAsia="宋体" w:cs="宋体"/>
          <w:sz w:val="24"/>
          <w:highlight w:val="none"/>
        </w:rPr>
        <w:t>，必须能兼容现有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车辆管理</w:t>
      </w:r>
      <w:r>
        <w:rPr>
          <w:rFonts w:hint="eastAsia" w:ascii="宋体" w:hAnsi="宋体" w:eastAsia="宋体" w:cs="宋体"/>
          <w:sz w:val="24"/>
          <w:highlight w:val="none"/>
        </w:rPr>
        <w:t>系统，具备自动控制、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远程</w:t>
      </w:r>
      <w:r>
        <w:rPr>
          <w:rFonts w:hint="eastAsia" w:ascii="宋体" w:hAnsi="宋体" w:eastAsia="宋体" w:cs="宋体"/>
          <w:sz w:val="24"/>
          <w:highlight w:val="none"/>
        </w:rPr>
        <w:t>手动抬杆</w:t>
      </w:r>
      <w:r>
        <w:rPr>
          <w:rFonts w:hint="eastAsia" w:ascii="宋体" w:hAnsi="宋体" w:cs="宋体"/>
          <w:sz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日志记录</w:t>
      </w:r>
      <w:r>
        <w:rPr>
          <w:rFonts w:hint="eastAsia" w:ascii="宋体" w:hAnsi="宋体" w:eastAsia="宋体" w:cs="宋体"/>
          <w:sz w:val="24"/>
          <w:highlight w:val="none"/>
        </w:rPr>
        <w:t>等功能，达到统一管理的要求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监控系统并入</w:t>
      </w:r>
      <w:r>
        <w:rPr>
          <w:rFonts w:hint="eastAsia" w:ascii="宋体" w:hAnsi="宋体" w:eastAsia="宋体" w:cs="宋体"/>
          <w:sz w:val="24"/>
          <w:highlight w:val="none"/>
        </w:rPr>
        <w:t>现有海康安防监控平台iSecure Center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网络延时≤15ms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招标范围包含</w:t>
      </w:r>
      <w:r>
        <w:rPr>
          <w:rFonts w:hint="eastAsia" w:ascii="宋体" w:hAnsi="宋体" w:eastAsia="宋体" w:cs="宋体"/>
          <w:sz w:val="24"/>
          <w:highlight w:val="none"/>
        </w:rPr>
        <w:t>车牌识别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系统、</w:t>
      </w:r>
      <w:r>
        <w:rPr>
          <w:rFonts w:hint="eastAsia" w:ascii="宋体" w:hAnsi="宋体" w:eastAsia="宋体" w:cs="宋体"/>
          <w:sz w:val="24"/>
          <w:highlight w:val="none"/>
        </w:rPr>
        <w:t>监控系统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及路灯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辅材线缆及相应的穿管</w:t>
      </w:r>
      <w:r>
        <w:rPr>
          <w:rFonts w:hint="eastAsia" w:ascii="宋体" w:hAnsi="宋体" w:eastAsia="宋体" w:cs="宋体"/>
          <w:sz w:val="24"/>
          <w:highlight w:val="none"/>
        </w:rPr>
        <w:t>敷设、光缆熔接、地面切割恢复、土建施工、挖沟回填、基础制作、设备的安装调试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80" w:leftChars="200" w:firstLine="0" w:firstLineChars="0"/>
        <w:textAlignment w:val="auto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3、工期：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自签订合同</w:t>
      </w:r>
      <w:r>
        <w:rPr>
          <w:rFonts w:hint="eastAsia" w:ascii="宋体" w:hAnsi="宋体" w:cs="宋体"/>
          <w:b/>
          <w:bCs/>
          <w:kern w:val="0"/>
          <w:sz w:val="24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4"/>
          <w:highlight w:val="none"/>
          <w:u w:val="single"/>
        </w:rPr>
        <w:t>0个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日历天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内全部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安装调试完成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4、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承包方式：</w:t>
      </w:r>
      <w:r>
        <w:rPr>
          <w:rFonts w:hint="eastAsia" w:ascii="宋体" w:hAnsi="宋体" w:eastAsia="宋体" w:cs="宋体"/>
          <w:sz w:val="24"/>
          <w:highlight w:val="none"/>
        </w:rPr>
        <w:t>总价包干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</w:rPr>
        <w:t>5、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结算方式：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安装调试完成，双方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验收无异议，供方向需方开具含税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13</w:t>
      </w:r>
      <w:r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  <w:t>%增值税发票后，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zh-CN"/>
        </w:rPr>
        <w:t>需方以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highlight w:val="none"/>
          <w:u w:val="single"/>
          <w:lang w:val="zh-CN"/>
        </w:rPr>
        <w:t>承兑方式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zh-CN"/>
        </w:rPr>
        <w:t>向供方付款。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sz w:val="24"/>
          <w:highlight w:val="none"/>
        </w:rPr>
        <w:t>6、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质保期及质保金：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符合国家、行业相关质量验收标准，质保期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</w:rPr>
        <w:t>12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个月，留取总货款的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  <w:lang w:val="zh-CN"/>
        </w:rPr>
        <w:t>%为质保金。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0" w:leftChars="0" w:firstLine="0" w:firstLineChars="0"/>
        <w:jc w:val="left"/>
        <w:textAlignment w:val="auto"/>
        <w:rPr>
          <w:rFonts w:eastAsia="宋体" w:cs="Times New Roman"/>
          <w:b/>
          <w:bCs/>
          <w:kern w:val="2"/>
          <w:szCs w:val="22"/>
        </w:rPr>
      </w:pPr>
      <w:r>
        <w:rPr>
          <w:rFonts w:eastAsia="宋体" w:cs="Times New Roman"/>
          <w:b/>
          <w:bCs/>
          <w:kern w:val="2"/>
          <w:szCs w:val="22"/>
        </w:rPr>
        <w:t>四、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投标人</w:t>
      </w:r>
      <w:r>
        <w:rPr>
          <w:rFonts w:eastAsia="宋体" w:cs="Times New Roman"/>
          <w:b/>
          <w:bCs/>
          <w:kern w:val="2"/>
          <w:szCs w:val="22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cs="Times New Roman"/>
          <w:kern w:val="2"/>
          <w:szCs w:val="22"/>
        </w:rPr>
        <w:t>1</w:t>
      </w:r>
      <w:r>
        <w:rPr>
          <w:rFonts w:hint="eastAsia" w:cs="Times New Roman"/>
          <w:kern w:val="2"/>
          <w:szCs w:val="22"/>
          <w:lang w:eastAsia="zh-CN"/>
        </w:rPr>
        <w:t>、</w:t>
      </w:r>
      <w:r>
        <w:rPr>
          <w:rFonts w:hint="eastAsia" w:ascii="宋体" w:hAnsi="宋体"/>
          <w:sz w:val="24"/>
        </w:rPr>
        <w:t>依法登记注册的独立法人，具有独立承担民事责任的能力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仿宋"/>
          <w:sz w:val="24"/>
          <w:highlight w:val="none"/>
          <w:lang w:val="en-US" w:eastAsia="zh-CN"/>
        </w:rPr>
      </w:pPr>
      <w:r>
        <w:rPr>
          <w:rFonts w:hint="eastAsia" w:cs="Times New Roman"/>
          <w:kern w:val="2"/>
          <w:szCs w:val="22"/>
          <w:highlight w:val="none"/>
          <w:lang w:val="en-US" w:eastAsia="zh-CN"/>
        </w:rPr>
        <w:t>2、</w:t>
      </w:r>
      <w:r>
        <w:rPr>
          <w:rFonts w:hint="eastAsia" w:cs="Times New Roman"/>
          <w:kern w:val="2"/>
          <w:szCs w:val="22"/>
          <w:highlight w:val="none"/>
          <w:lang w:val="zh-CN"/>
        </w:rPr>
        <w:t>具有与本次采购项目相应的经营范围，且营业执照有效，并在人员、设备、资金等方面具有相应的供货及</w:t>
      </w:r>
      <w:r>
        <w:rPr>
          <w:rFonts w:hint="eastAsia" w:cs="Times New Roman"/>
          <w:kern w:val="2"/>
          <w:szCs w:val="22"/>
          <w:highlight w:val="none"/>
        </w:rPr>
        <w:t>实施</w:t>
      </w:r>
      <w:r>
        <w:rPr>
          <w:rFonts w:hint="eastAsia" w:cs="Times New Roman"/>
          <w:kern w:val="2"/>
          <w:szCs w:val="22"/>
          <w:highlight w:val="none"/>
          <w:lang w:val="zh-CN"/>
        </w:rPr>
        <w:t>能力，</w:t>
      </w:r>
      <w:r>
        <w:rPr>
          <w:rFonts w:hint="eastAsia" w:cs="Times New Roman"/>
          <w:kern w:val="2"/>
          <w:szCs w:val="22"/>
          <w:highlight w:val="none"/>
        </w:rPr>
        <w:t>注册资金100万元及以上</w:t>
      </w:r>
      <w:r>
        <w:rPr>
          <w:rFonts w:hint="eastAsia" w:cs="Times New Roman"/>
          <w:kern w:val="2"/>
          <w:szCs w:val="22"/>
          <w:highlight w:val="none"/>
          <w:lang w:eastAsia="zh-CN"/>
        </w:rPr>
        <w:t>，</w:t>
      </w:r>
      <w:r>
        <w:rPr>
          <w:rFonts w:hint="eastAsia" w:cs="Times New Roman"/>
          <w:kern w:val="2"/>
          <w:szCs w:val="22"/>
          <w:highlight w:val="none"/>
          <w:lang w:val="zh-CN"/>
        </w:rPr>
        <w:t>相关人员持有相应的特种作业操作证。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  <w:highlight w:val="none"/>
        </w:rPr>
      </w:pPr>
      <w:r>
        <w:rPr>
          <w:rFonts w:hint="eastAsia" w:cs="Times New Roman"/>
          <w:kern w:val="2"/>
          <w:szCs w:val="22"/>
          <w:highlight w:val="none"/>
          <w:lang w:val="en-US" w:eastAsia="zh-CN"/>
        </w:rPr>
        <w:t>3</w:t>
      </w:r>
      <w:r>
        <w:rPr>
          <w:rFonts w:cs="Times New Roman"/>
          <w:kern w:val="2"/>
          <w:szCs w:val="22"/>
          <w:highlight w:val="none"/>
        </w:rPr>
        <w:t>、具有良好的企业信誉和健全的财务会计制度；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  <w:lang w:val="en-US" w:eastAsia="zh-CN"/>
        </w:rPr>
        <w:t>4</w:t>
      </w:r>
      <w:r>
        <w:rPr>
          <w:rFonts w:cs="Times New Roman"/>
          <w:kern w:val="2"/>
          <w:szCs w:val="22"/>
        </w:rPr>
        <w:t>、有依法缴纳税收和社会保障金的良好纪录；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、须遵守中华人民共和国有关法律、法规，无重大违法违约行为。“通过“信用中国”网站（www.creditchina.gov.cn）、中国政府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网（www.ccgp.gov.cn）查询，未被列入失信被执行人、重大税收违法案件当事人、政府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严重违法失信行为记录名单”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提供</w:t>
      </w:r>
      <w:r>
        <w:rPr>
          <w:rFonts w:hint="eastAsia"/>
        </w:rPr>
        <w:t>查询截屏。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</w:rPr>
      </w:pPr>
      <w:r>
        <w:rPr>
          <w:rFonts w:hint="eastAsia" w:cs="Times New Roman"/>
          <w:kern w:val="2"/>
          <w:szCs w:val="22"/>
          <w:lang w:val="en-US" w:eastAsia="zh-CN"/>
        </w:rPr>
        <w:t>6</w:t>
      </w:r>
      <w:r>
        <w:rPr>
          <w:rFonts w:cs="Times New Roman"/>
          <w:kern w:val="2"/>
          <w:szCs w:val="22"/>
        </w:rPr>
        <w:t>、如有单位资料造假，一经发现，立即在网上公示，并永久取消</w:t>
      </w:r>
      <w:r>
        <w:rPr>
          <w:rFonts w:hint="eastAsia" w:cs="Times New Roman"/>
          <w:kern w:val="2"/>
          <w:szCs w:val="22"/>
          <w:lang w:val="en-US" w:eastAsia="zh-CN"/>
        </w:rPr>
        <w:t>投标</w:t>
      </w:r>
      <w:r>
        <w:rPr>
          <w:rFonts w:cs="Times New Roman"/>
          <w:kern w:val="2"/>
          <w:szCs w:val="22"/>
        </w:rPr>
        <w:t>资格。</w:t>
      </w:r>
    </w:p>
    <w:p>
      <w:pPr>
        <w:spacing w:line="360" w:lineRule="auto"/>
        <w:rPr>
          <w:b/>
          <w:bCs/>
          <w:highlight w:val="none"/>
        </w:rPr>
      </w:pPr>
      <w:r>
        <w:rPr>
          <w:rFonts w:hint="eastAsia" w:cs="Times New Roman"/>
          <w:b/>
          <w:bCs/>
          <w:kern w:val="2"/>
          <w:szCs w:val="22"/>
          <w:lang w:val="en-US" w:eastAsia="zh-CN"/>
        </w:rPr>
        <w:t>五、</w:t>
      </w:r>
      <w:r>
        <w:rPr>
          <w:rFonts w:hint="eastAsia"/>
          <w:b/>
          <w:bCs/>
        </w:rPr>
        <w:t>公告</w:t>
      </w:r>
      <w:r>
        <w:rPr>
          <w:rFonts w:hint="eastAsia" w:cs="Times New Roman"/>
          <w:b/>
          <w:bCs/>
          <w:kern w:val="2"/>
          <w:szCs w:val="22"/>
          <w:highlight w:val="none"/>
          <w:lang w:val="zh-CN"/>
        </w:rPr>
        <w:t>报名时间</w:t>
      </w:r>
      <w:r>
        <w:rPr>
          <w:rFonts w:hint="eastAsia" w:cs="Times New Roman"/>
          <w:b/>
          <w:bCs/>
          <w:kern w:val="2"/>
          <w:szCs w:val="22"/>
          <w:highlight w:val="none"/>
          <w:lang w:val="en-US" w:eastAsia="zh-CN"/>
        </w:rPr>
        <w:t>方式</w:t>
      </w:r>
      <w:r>
        <w:rPr>
          <w:rFonts w:hint="eastAsia" w:cs="Times New Roman"/>
          <w:b/>
          <w:bCs/>
          <w:kern w:val="2"/>
          <w:szCs w:val="22"/>
          <w:highlight w:val="none"/>
          <w:lang w:val="zh-CN"/>
        </w:rPr>
        <w:t>、</w:t>
      </w:r>
      <w:r>
        <w:rPr>
          <w:rFonts w:hint="eastAsia" w:cs="Times New Roman"/>
          <w:b/>
          <w:bCs/>
          <w:kern w:val="2"/>
          <w:szCs w:val="22"/>
          <w:highlight w:val="none"/>
        </w:rPr>
        <w:t>踏勘现场时间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1、报名方式：通过登录济钢集团有限公司阳光购销平台网上报名，平台网址：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"http://bidding.jigang.com.cn"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http://bidding.jigang.com.cn</w:t>
      </w:r>
      <w:r>
        <w:rPr>
          <w:rFonts w:hint="eastAsia" w:ascii="宋体" w:hAnsi="宋体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 xml:space="preserve">/； </w:t>
      </w:r>
    </w:p>
    <w:p>
      <w:pPr>
        <w:spacing w:line="360" w:lineRule="auto"/>
        <w:ind w:firstLine="480" w:firstLineChars="200"/>
        <w:rPr>
          <w:rFonts w:hint="eastAsia"/>
          <w:color w:val="000000"/>
          <w:highlight w:val="none"/>
          <w:lang w:val="zh-CN"/>
        </w:rPr>
      </w:pPr>
      <w:r>
        <w:rPr>
          <w:rFonts w:hint="eastAsia"/>
          <w:color w:val="000000"/>
          <w:highlight w:val="none"/>
        </w:rPr>
        <w:t>2、</w:t>
      </w:r>
      <w:r>
        <w:rPr>
          <w:rFonts w:hint="eastAsia"/>
          <w:color w:val="000000"/>
          <w:highlight w:val="none"/>
          <w:lang w:val="en-US" w:eastAsia="zh-CN"/>
        </w:rPr>
        <w:t>公告和</w:t>
      </w:r>
      <w:r>
        <w:rPr>
          <w:rFonts w:hint="eastAsia"/>
          <w:color w:val="000000"/>
          <w:highlight w:val="none"/>
          <w:lang w:val="zh-CN"/>
        </w:rPr>
        <w:t>报名时间：</w:t>
      </w:r>
      <w:r>
        <w:rPr>
          <w:rFonts w:hint="eastAsia"/>
          <w:color w:val="000000"/>
          <w:highlight w:val="none"/>
          <w:lang w:val="en-US" w:eastAsia="zh-CN"/>
        </w:rPr>
        <w:t>2024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  <w:lang w:val="zh-CN"/>
        </w:rPr>
        <w:t>年</w:t>
      </w:r>
      <w:r>
        <w:rPr>
          <w:rFonts w:hint="eastAsia"/>
          <w:color w:val="000000"/>
          <w:highlight w:val="none"/>
          <w:lang w:val="en-US" w:eastAsia="zh-CN"/>
        </w:rPr>
        <w:t xml:space="preserve">7 </w:t>
      </w:r>
      <w:r>
        <w:rPr>
          <w:rFonts w:hint="eastAsia"/>
          <w:color w:val="000000"/>
          <w:highlight w:val="none"/>
          <w:lang w:val="zh-CN"/>
        </w:rPr>
        <w:t>月</w:t>
      </w:r>
      <w:r>
        <w:rPr>
          <w:rFonts w:hint="eastAsia"/>
          <w:color w:val="000000"/>
          <w:highlight w:val="none"/>
          <w:lang w:val="en-US" w:eastAsia="zh-CN"/>
        </w:rPr>
        <w:t>8</w:t>
      </w:r>
      <w:r>
        <w:rPr>
          <w:rFonts w:hint="eastAsia"/>
          <w:color w:val="000000"/>
          <w:highlight w:val="none"/>
          <w:lang w:val="zh-CN"/>
        </w:rPr>
        <w:t xml:space="preserve">日至 </w:t>
      </w:r>
      <w:r>
        <w:rPr>
          <w:rFonts w:hint="eastAsia"/>
          <w:color w:val="000000"/>
          <w:highlight w:val="none"/>
        </w:rPr>
        <w:t>202</w:t>
      </w:r>
      <w:r>
        <w:rPr>
          <w:rFonts w:hint="eastAsia"/>
          <w:color w:val="000000"/>
          <w:highlight w:val="none"/>
          <w:lang w:val="en-US" w:eastAsia="zh-CN"/>
        </w:rPr>
        <w:t>4</w:t>
      </w:r>
      <w:r>
        <w:rPr>
          <w:rFonts w:hint="eastAsia"/>
          <w:color w:val="000000"/>
          <w:highlight w:val="none"/>
          <w:lang w:val="zh-CN"/>
        </w:rPr>
        <w:t xml:space="preserve"> 年</w:t>
      </w:r>
      <w:r>
        <w:rPr>
          <w:rFonts w:hint="eastAsia"/>
          <w:color w:val="000000"/>
          <w:highlight w:val="none"/>
          <w:lang w:val="en-US" w:eastAsia="zh-CN"/>
        </w:rPr>
        <w:t>7</w:t>
      </w:r>
      <w:r>
        <w:rPr>
          <w:rFonts w:hint="eastAsia"/>
          <w:color w:val="000000"/>
          <w:highlight w:val="none"/>
          <w:lang w:val="zh-CN"/>
        </w:rPr>
        <w:t>月</w:t>
      </w:r>
      <w:r>
        <w:rPr>
          <w:rFonts w:hint="eastAsia"/>
          <w:color w:val="000000"/>
          <w:highlight w:val="none"/>
          <w:lang w:val="en-US" w:eastAsia="zh-CN"/>
        </w:rPr>
        <w:t>10</w:t>
      </w:r>
      <w:r>
        <w:rPr>
          <w:rFonts w:hint="eastAsia"/>
          <w:color w:val="000000"/>
          <w:highlight w:val="none"/>
          <w:lang w:val="zh-CN"/>
        </w:rPr>
        <w:t>日。</w:t>
      </w:r>
    </w:p>
    <w:p>
      <w:pPr>
        <w:spacing w:line="360" w:lineRule="auto"/>
        <w:ind w:firstLine="480" w:firstLineChars="200"/>
        <w:rPr>
          <w:rFonts w:hint="eastAsia"/>
          <w:highlight w:val="yellow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、踏勘现场时间：</w:t>
      </w:r>
      <w:r>
        <w:rPr>
          <w:rFonts w:hint="eastAsia"/>
          <w:highlight w:val="yellow"/>
        </w:rPr>
        <w:t>202</w:t>
      </w:r>
      <w:r>
        <w:rPr>
          <w:rFonts w:hint="eastAsia"/>
          <w:highlight w:val="yellow"/>
          <w:lang w:val="en-US" w:eastAsia="zh-CN"/>
        </w:rPr>
        <w:t>4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7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11</w:t>
      </w:r>
      <w:r>
        <w:rPr>
          <w:rFonts w:hint="eastAsia"/>
          <w:highlight w:val="yellow"/>
        </w:rPr>
        <w:t>日上午</w:t>
      </w:r>
      <w:r>
        <w:rPr>
          <w:rFonts w:hint="eastAsia"/>
          <w:highlight w:val="yellow"/>
          <w:lang w:val="en-US" w:eastAsia="zh-CN"/>
        </w:rPr>
        <w:t xml:space="preserve">9 </w:t>
      </w:r>
      <w:r>
        <w:rPr>
          <w:rFonts w:hint="eastAsia"/>
          <w:highlight w:val="yellow"/>
        </w:rPr>
        <w:t>:</w:t>
      </w:r>
      <w:r>
        <w:rPr>
          <w:rFonts w:hint="eastAsia"/>
          <w:highlight w:val="yellow"/>
          <w:lang w:val="en-US" w:eastAsia="zh-CN"/>
        </w:rPr>
        <w:t xml:space="preserve"> 00 </w:t>
      </w:r>
      <w:r>
        <w:rPr>
          <w:rFonts w:hint="eastAsia"/>
          <w:highlight w:val="yellow"/>
        </w:rPr>
        <w:t>-上午11：</w:t>
      </w:r>
      <w:r>
        <w:rPr>
          <w:rFonts w:hint="eastAsia"/>
          <w:highlight w:val="yellow"/>
          <w:lang w:val="en-US" w:eastAsia="zh-CN"/>
        </w:rPr>
        <w:t>0</w:t>
      </w:r>
      <w:r>
        <w:rPr>
          <w:rFonts w:hint="eastAsia"/>
          <w:highlight w:val="yellow"/>
        </w:rPr>
        <w:t>0（不踏勘现场的，视为无效投标）。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highlight w:val="none"/>
          <w:lang w:val="en-US" w:eastAsia="zh-CN"/>
        </w:rPr>
      </w:pPr>
      <w:r>
        <w:rPr>
          <w:rFonts w:hint="eastAsia" w:cs="Times New Roman"/>
          <w:b/>
          <w:bCs/>
          <w:kern w:val="2"/>
          <w:szCs w:val="22"/>
          <w:highlight w:val="none"/>
          <w:lang w:val="en-US" w:eastAsia="zh-CN"/>
        </w:rPr>
        <w:t>六</w:t>
      </w:r>
      <w:r>
        <w:rPr>
          <w:rFonts w:cs="Times New Roman"/>
          <w:b/>
          <w:bCs/>
          <w:kern w:val="2"/>
          <w:szCs w:val="22"/>
          <w:highlight w:val="none"/>
        </w:rPr>
        <w:t>、</w:t>
      </w:r>
      <w:r>
        <w:rPr>
          <w:rFonts w:hint="eastAsia" w:cs="Times New Roman"/>
          <w:b/>
          <w:bCs/>
          <w:kern w:val="2"/>
          <w:szCs w:val="22"/>
          <w:highlight w:val="none"/>
        </w:rPr>
        <w:t>谈判时间</w:t>
      </w:r>
      <w:r>
        <w:rPr>
          <w:rFonts w:hint="eastAsia" w:cs="Times New Roman"/>
          <w:b/>
          <w:bCs/>
          <w:kern w:val="2"/>
          <w:szCs w:val="22"/>
          <w:highlight w:val="none"/>
          <w:lang w:val="en-US" w:eastAsia="zh-CN"/>
        </w:rPr>
        <w:t>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  <w:highlight w:val="none"/>
        </w:rPr>
      </w:pPr>
      <w:r>
        <w:rPr>
          <w:rFonts w:cs="Times New Roman"/>
          <w:kern w:val="2"/>
          <w:szCs w:val="22"/>
          <w:highlight w:val="none"/>
        </w:rPr>
        <w:t>1、</w:t>
      </w:r>
      <w:r>
        <w:rPr>
          <w:rFonts w:hint="eastAsia" w:cs="Times New Roman"/>
          <w:kern w:val="2"/>
          <w:szCs w:val="22"/>
          <w:highlight w:val="none"/>
        </w:rPr>
        <w:t>谈判</w:t>
      </w:r>
      <w:r>
        <w:rPr>
          <w:rFonts w:cs="Times New Roman"/>
          <w:kern w:val="2"/>
          <w:szCs w:val="22"/>
          <w:highlight w:val="none"/>
        </w:rPr>
        <w:t>时间：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2024</w:t>
      </w:r>
      <w:r>
        <w:rPr>
          <w:rFonts w:hint="eastAsia" w:cs="Times New Roman"/>
          <w:kern w:val="2"/>
          <w:szCs w:val="22"/>
          <w:highlight w:val="yellow"/>
          <w:lang w:eastAsia="zh-CN"/>
        </w:rPr>
        <w:t>年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7</w:t>
      </w:r>
      <w:r>
        <w:rPr>
          <w:rFonts w:hint="eastAsia" w:cs="Times New Roman"/>
          <w:kern w:val="2"/>
          <w:szCs w:val="22"/>
          <w:highlight w:val="yellow"/>
        </w:rPr>
        <w:t>月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16</w:t>
      </w:r>
      <w:r>
        <w:rPr>
          <w:rFonts w:hint="eastAsia" w:cs="Times New Roman"/>
          <w:kern w:val="2"/>
          <w:szCs w:val="22"/>
          <w:highlight w:val="yellow"/>
        </w:rPr>
        <w:t>日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上午9:00</w:t>
      </w:r>
      <w:r>
        <w:rPr>
          <w:rFonts w:hint="eastAsia" w:cs="Times New Roman"/>
          <w:kern w:val="2"/>
          <w:szCs w:val="22"/>
          <w:highlight w:val="yellow"/>
        </w:rPr>
        <w:t>点</w:t>
      </w:r>
      <w:r>
        <w:rPr>
          <w:rFonts w:cs="Times New Roman"/>
          <w:kern w:val="2"/>
          <w:szCs w:val="22"/>
          <w:highlight w:val="yellow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Times New Roman"/>
          <w:kern w:val="2"/>
          <w:szCs w:val="22"/>
          <w:lang w:val="en-US" w:eastAsia="zh-CN"/>
        </w:rPr>
      </w:pPr>
      <w:r>
        <w:rPr>
          <w:rFonts w:cs="Times New Roman"/>
          <w:kern w:val="2"/>
          <w:szCs w:val="22"/>
          <w:highlight w:val="none"/>
        </w:rPr>
        <w:t>2、</w:t>
      </w:r>
      <w:r>
        <w:rPr>
          <w:rFonts w:hint="eastAsia"/>
          <w:sz w:val="24"/>
          <w:highlight w:val="none"/>
          <w:lang w:val="en-US" w:eastAsia="zh-CN"/>
        </w:rPr>
        <w:t>谈判方式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ascii="Times New Roman" w:hAnsi="Times New Roman"/>
          <w:color w:val="000000"/>
          <w:sz w:val="24"/>
          <w:highlight w:val="none"/>
        </w:rPr>
        <w:t>网上</w:t>
      </w:r>
      <w:r>
        <w:rPr>
          <w:rFonts w:hint="eastAsia" w:ascii="Times New Roman" w:hAnsi="Times New Roman"/>
          <w:color w:val="000000"/>
          <w:sz w:val="24"/>
          <w:highlight w:val="none"/>
          <w:lang w:val="en-US" w:eastAsia="zh-CN"/>
        </w:rPr>
        <w:t>谈判</w:t>
      </w:r>
      <w:r>
        <w:rPr>
          <w:rFonts w:ascii="Times New Roman" w:hAnsi="Times New Roman"/>
          <w:color w:val="000000"/>
          <w:sz w:val="24"/>
          <w:highlight w:val="none"/>
        </w:rPr>
        <w:t>，</w:t>
      </w:r>
      <w:r>
        <w:rPr>
          <w:rFonts w:hint="eastAsia" w:ascii="Times New Roman" w:hAnsi="Times New Roman"/>
          <w:color w:val="000000"/>
          <w:sz w:val="24"/>
          <w:highlight w:val="none"/>
          <w:lang w:val="en-US" w:eastAsia="zh-CN"/>
        </w:rPr>
        <w:t>谈判</w:t>
      </w:r>
      <w:r>
        <w:rPr>
          <w:rFonts w:ascii="Times New Roman" w:hAnsi="Times New Roman"/>
          <w:color w:val="000000"/>
          <w:sz w:val="24"/>
          <w:highlight w:val="none"/>
        </w:rPr>
        <w:t>时无需</w:t>
      </w:r>
      <w:r>
        <w:rPr>
          <w:rFonts w:hint="eastAsia" w:ascii="Times New Roman" w:hAnsi="Times New Roman"/>
          <w:color w:val="000000"/>
          <w:sz w:val="24"/>
          <w:highlight w:val="none"/>
          <w:lang w:eastAsia="zh-CN"/>
        </w:rPr>
        <w:t>供应商</w:t>
      </w:r>
      <w:r>
        <w:rPr>
          <w:rFonts w:ascii="Times New Roman" w:hAnsi="Times New Roman"/>
          <w:color w:val="000000"/>
          <w:sz w:val="24"/>
        </w:rPr>
        <w:t>到达现场。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hint="eastAsia" w:cs="Times New Roman"/>
          <w:b/>
          <w:bCs/>
          <w:kern w:val="2"/>
          <w:szCs w:val="22"/>
          <w:lang w:val="en-US" w:eastAsia="zh-CN"/>
        </w:rPr>
        <w:t>七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谈判</w:t>
      </w:r>
      <w:r>
        <w:rPr>
          <w:rFonts w:cs="Times New Roman"/>
          <w:b/>
          <w:bCs/>
          <w:kern w:val="2"/>
          <w:szCs w:val="22"/>
        </w:rPr>
        <w:t>保证金：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、谈判文件</w:t>
      </w:r>
      <w:r>
        <w:rPr>
          <w:rFonts w:hint="eastAsia"/>
          <w:b/>
          <w:bCs/>
          <w:lang w:val="en-US" w:eastAsia="zh-CN"/>
        </w:rPr>
        <w:t>的</w:t>
      </w:r>
      <w:r>
        <w:rPr>
          <w:rFonts w:hint="eastAsia"/>
          <w:b/>
          <w:bCs/>
        </w:rPr>
        <w:t>获取</w:t>
      </w:r>
      <w:r>
        <w:rPr>
          <w:rFonts w:hint="eastAsia"/>
          <w:b/>
          <w:bCs/>
          <w:lang w:val="en-US" w:eastAsia="zh-CN"/>
        </w:rPr>
        <w:t>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</w:rPr>
        <w:t>1、获取</w:t>
      </w:r>
      <w:r>
        <w:rPr>
          <w:rFonts w:hint="eastAsia"/>
          <w:lang w:val="en-US" w:eastAsia="zh-CN"/>
        </w:rPr>
        <w:t>方式</w:t>
      </w:r>
      <w:r>
        <w:rPr>
          <w:rFonts w:hint="eastAsia"/>
        </w:rPr>
        <w:t>：凡有意参加的潜在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，在公告期内登陆：</w:t>
      </w:r>
      <w:r>
        <w:rPr>
          <w:rFonts w:hint="eastAsia"/>
          <w:lang w:val="en-US" w:eastAsia="zh-CN"/>
        </w:rPr>
        <w:t>济钢集团有限公司阳光购销平台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"http://bidding.jigang.com.cn"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http://bidding.jigang.com.cn</w:t>
      </w:r>
      <w:r>
        <w:rPr>
          <w:rFonts w:hint="eastAsia" w:ascii="宋体" w:hAnsi="宋体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/>
        </w:rPr>
        <w:t xml:space="preserve"> ，注册用户成功后，须修改初始密码，重新登录后报名，报名成功后即可下载</w:t>
      </w:r>
      <w:r>
        <w:rPr>
          <w:rFonts w:hint="eastAsia"/>
          <w:lang w:val="en-US" w:eastAsia="zh-CN"/>
        </w:rPr>
        <w:t>谈判</w:t>
      </w:r>
      <w:r>
        <w:rPr>
          <w:rFonts w:hint="eastAsia"/>
        </w:rPr>
        <w:t>文件</w:t>
      </w:r>
      <w: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、资格审查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/>
        </w:rPr>
        <w:t>资格后审，不接受联合体。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十、</w:t>
      </w:r>
      <w:r>
        <w:rPr>
          <w:rFonts w:hint="eastAsia"/>
          <w:b/>
          <w:bCs/>
          <w:lang w:val="en-US" w:eastAsia="zh-CN"/>
        </w:rPr>
        <w:t>采购人的名称、地址和联系人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Times New Roman"/>
          <w:kern w:val="2"/>
          <w:szCs w:val="22"/>
        </w:rPr>
      </w:pPr>
      <w:r>
        <w:rPr>
          <w:rFonts w:hint="eastAsia"/>
          <w:lang w:val="en-US" w:eastAsia="zh-CN"/>
        </w:rPr>
        <w:t>1、采购人的名称：</w:t>
      </w:r>
      <w:r>
        <w:rPr>
          <w:rFonts w:hint="eastAsia" w:cs="Times New Roman"/>
          <w:kern w:val="2"/>
          <w:szCs w:val="22"/>
        </w:rPr>
        <w:t>山东济钢</w:t>
      </w:r>
      <w:r>
        <w:rPr>
          <w:rFonts w:cs="Times New Roman"/>
          <w:kern w:val="2"/>
          <w:szCs w:val="22"/>
        </w:rPr>
        <w:t>环保新材料有限公司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2、采购人的地址：山东省济南市章丘区官庄街道青野村东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lang w:val="en-US" w:eastAsia="zh-CN"/>
        </w:rPr>
        <w:t>3</w:t>
      </w:r>
      <w:r>
        <w:t>、</w:t>
      </w:r>
      <w:r>
        <w:rPr>
          <w:rFonts w:hint="eastAsia"/>
          <w:lang w:val="en-US" w:eastAsia="zh-CN"/>
        </w:rPr>
        <w:t>谈判</w:t>
      </w:r>
      <w:r>
        <w:t>联系人：</w:t>
      </w:r>
      <w:r>
        <w:rPr>
          <w:rFonts w:hint="eastAsia"/>
        </w:rPr>
        <w:t>史工</w:t>
      </w:r>
      <w:r>
        <w:t>，联系电话：18615514537；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  <w:lang w:val="en-US" w:eastAsia="zh-CN"/>
        </w:rPr>
        <w:t>技术</w:t>
      </w:r>
      <w:r>
        <w:t>联系人：</w:t>
      </w:r>
      <w:r>
        <w:rPr>
          <w:rFonts w:hint="eastAsia"/>
          <w:lang w:val="en-US" w:eastAsia="zh-CN"/>
        </w:rPr>
        <w:t>侯工，</w:t>
      </w:r>
      <w:r>
        <w:t>联系电话：</w:t>
      </w:r>
      <w:r>
        <w:rPr>
          <w:rFonts w:hint="eastAsia"/>
          <w:lang w:val="en-US" w:eastAsia="zh-CN"/>
        </w:rPr>
        <w:t>15666418830/15066666837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 w:cs="Times New Roman"/>
          <w:b/>
          <w:bCs/>
          <w:kern w:val="2"/>
          <w:szCs w:val="22"/>
          <w:lang w:val="en-US" w:eastAsia="zh-CN"/>
        </w:rPr>
      </w:pPr>
      <w:r>
        <w:rPr>
          <w:rFonts w:hint="eastAsia" w:cs="Times New Roman"/>
          <w:b/>
          <w:bCs/>
          <w:kern w:val="2"/>
          <w:szCs w:val="22"/>
        </w:rPr>
        <w:t>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一</w:t>
      </w:r>
      <w:r>
        <w:rPr>
          <w:rFonts w:cs="Times New Roman"/>
          <w:b/>
          <w:bCs/>
          <w:kern w:val="2"/>
          <w:szCs w:val="22"/>
        </w:rPr>
        <w:t>、</w:t>
      </w:r>
      <w:r>
        <w:rPr>
          <w:rFonts w:hint="eastAsia" w:cs="Times New Roman"/>
          <w:b/>
          <w:bCs/>
          <w:kern w:val="2"/>
          <w:szCs w:val="22"/>
          <w:lang w:val="en-US" w:eastAsia="zh-CN"/>
        </w:rPr>
        <w:t>安全和防疫要求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/>
          <w:kern w:val="2"/>
          <w:szCs w:val="22"/>
          <w:lang w:eastAsia="zh-CN"/>
        </w:rPr>
      </w:pPr>
      <w:r>
        <w:rPr>
          <w:rFonts w:hint="eastAsia" w:cs="Times New Roman"/>
          <w:kern w:val="2"/>
          <w:szCs w:val="22"/>
          <w:lang w:val="en-US" w:eastAsia="zh-CN"/>
        </w:rPr>
        <w:t>1、参加</w:t>
      </w:r>
      <w:r>
        <w:rPr>
          <w:rFonts w:hint="eastAsia" w:cs="Times New Roman"/>
          <w:kern w:val="2"/>
          <w:szCs w:val="22"/>
        </w:rPr>
        <w:t>谈判</w:t>
      </w:r>
      <w:r>
        <w:rPr>
          <w:rFonts w:hint="eastAsia" w:cs="Times New Roman"/>
          <w:kern w:val="2"/>
          <w:szCs w:val="22"/>
          <w:lang w:val="en-US" w:eastAsia="zh-CN"/>
        </w:rPr>
        <w:t>的</w:t>
      </w:r>
      <w:r>
        <w:rPr>
          <w:rFonts w:cs="Times New Roman"/>
          <w:kern w:val="2"/>
          <w:szCs w:val="22"/>
        </w:rPr>
        <w:t>人员在济钢集团有限公司的一切活动，必须遵守济钢集团有限公司的安全规定。</w:t>
      </w:r>
      <w:r>
        <w:rPr>
          <w:rFonts w:hint="eastAsia" w:cs="Times New Roman"/>
          <w:kern w:val="2"/>
          <w:szCs w:val="22"/>
          <w:lang w:val="en-US" w:eastAsia="zh-CN"/>
        </w:rPr>
        <w:t>需要</w:t>
      </w:r>
      <w:r>
        <w:rPr>
          <w:rFonts w:cs="Times New Roman"/>
          <w:kern w:val="2"/>
          <w:szCs w:val="22"/>
        </w:rPr>
        <w:t>现场</w:t>
      </w:r>
      <w:r>
        <w:rPr>
          <w:rFonts w:hint="eastAsia" w:cs="Times New Roman"/>
          <w:kern w:val="2"/>
          <w:szCs w:val="22"/>
          <w:lang w:val="en-US" w:eastAsia="zh-CN"/>
        </w:rPr>
        <w:t>踏勘时，</w:t>
      </w:r>
      <w:r>
        <w:rPr>
          <w:rFonts w:cs="Times New Roman"/>
          <w:kern w:val="2"/>
          <w:szCs w:val="22"/>
        </w:rPr>
        <w:t>必须遵守安全管理规定，服从现场</w:t>
      </w:r>
      <w:r>
        <w:rPr>
          <w:rFonts w:hint="eastAsia" w:cs="Times New Roman"/>
          <w:kern w:val="2"/>
          <w:szCs w:val="22"/>
          <w:lang w:val="en-US" w:eastAsia="zh-CN"/>
        </w:rPr>
        <w:t>人员</w:t>
      </w:r>
      <w:r>
        <w:rPr>
          <w:rFonts w:cs="Times New Roman"/>
          <w:kern w:val="2"/>
          <w:szCs w:val="22"/>
        </w:rPr>
        <w:t>指挥</w:t>
      </w:r>
      <w:r>
        <w:rPr>
          <w:rFonts w:hint="eastAsia" w:cs="Times New Roman"/>
          <w:kern w:val="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cs="Times New Roman"/>
          <w:kern w:val="2"/>
          <w:szCs w:val="22"/>
          <w:lang w:val="en-US" w:eastAsia="zh-CN"/>
        </w:rPr>
        <w:t>2、</w:t>
      </w:r>
      <w:r>
        <w:rPr>
          <w:rFonts w:hint="eastAsia" w:ascii="宋体" w:hAnsi="宋体"/>
          <w:color w:val="000000"/>
          <w:sz w:val="24"/>
        </w:rPr>
        <w:t>疫情期间，</w:t>
      </w:r>
      <w:r>
        <w:rPr>
          <w:rFonts w:hint="eastAsia"/>
          <w:color w:val="000000"/>
          <w:sz w:val="24"/>
          <w:lang w:val="en-US" w:eastAsia="zh-CN"/>
        </w:rPr>
        <w:t>谈判</w:t>
      </w:r>
      <w:r>
        <w:rPr>
          <w:rFonts w:hint="eastAsia" w:ascii="宋体" w:hAnsi="宋体"/>
          <w:color w:val="000000"/>
          <w:sz w:val="24"/>
        </w:rPr>
        <w:t>时间</w:t>
      </w:r>
      <w:r>
        <w:rPr>
          <w:rFonts w:hint="eastAsia"/>
          <w:color w:val="000000"/>
          <w:sz w:val="24"/>
          <w:lang w:val="en-US" w:eastAsia="zh-CN"/>
        </w:rPr>
        <w:t>和谈判方式</w:t>
      </w:r>
      <w:r>
        <w:rPr>
          <w:rFonts w:hint="eastAsia" w:ascii="宋体" w:hAnsi="宋体"/>
          <w:color w:val="000000"/>
          <w:sz w:val="24"/>
        </w:rPr>
        <w:t>可能受</w:t>
      </w:r>
      <w:r>
        <w:rPr>
          <w:rFonts w:hint="eastAsia"/>
          <w:color w:val="000000"/>
          <w:sz w:val="24"/>
          <w:lang w:val="en-US" w:eastAsia="zh-CN"/>
        </w:rPr>
        <w:t>到</w:t>
      </w:r>
      <w:r>
        <w:rPr>
          <w:rFonts w:hint="eastAsia" w:ascii="宋体" w:hAnsi="宋体"/>
          <w:color w:val="000000"/>
          <w:sz w:val="24"/>
        </w:rPr>
        <w:t>影响，我方有权进行调整，并将在合理有限时间在</w:t>
      </w:r>
      <w:r>
        <w:rPr>
          <w:rFonts w:hint="eastAsia"/>
          <w:lang w:val="en-US" w:eastAsia="zh-CN"/>
        </w:rPr>
        <w:t>济钢集团有限公司阳光购销平台上</w:t>
      </w:r>
      <w:r>
        <w:rPr>
          <w:rFonts w:hint="eastAsia" w:ascii="宋体" w:hAnsi="宋体"/>
          <w:color w:val="000000"/>
          <w:sz w:val="24"/>
        </w:rPr>
        <w:t>发布公告。请</w:t>
      </w:r>
      <w:r>
        <w:rPr>
          <w:rFonts w:hint="eastAsia"/>
        </w:rPr>
        <w:t>有意参加的潜在</w:t>
      </w:r>
      <w:r>
        <w:rPr>
          <w:rFonts w:hint="eastAsia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</w:rPr>
        <w:t>每日登陆系统，用注册的用户名查找是否有澄清通知等信息，</w:t>
      </w:r>
      <w:r>
        <w:rPr>
          <w:rFonts w:hint="eastAsia"/>
          <w:color w:val="000000"/>
          <w:sz w:val="24"/>
          <w:lang w:val="en-US" w:eastAsia="zh-CN"/>
        </w:rPr>
        <w:t>采购人</w:t>
      </w:r>
      <w:r>
        <w:rPr>
          <w:rFonts w:hint="eastAsia" w:ascii="宋体" w:hAnsi="宋体"/>
          <w:color w:val="000000"/>
          <w:sz w:val="24"/>
        </w:rPr>
        <w:t>不再单独通知，怠于登陆造成的后果由</w:t>
      </w:r>
      <w:r>
        <w:rPr>
          <w:rFonts w:hint="eastAsia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 w:cs="Times New Roman"/>
          <w:kern w:val="2"/>
          <w:szCs w:val="22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3、需要到采购人现场时，</w:t>
      </w:r>
      <w:r>
        <w:rPr>
          <w:rFonts w:hint="eastAsia" w:cs="Times New Roman"/>
          <w:kern w:val="2"/>
          <w:szCs w:val="22"/>
        </w:rPr>
        <w:t>根据疫情防控</w:t>
      </w:r>
      <w:r>
        <w:rPr>
          <w:rFonts w:hint="eastAsia" w:eastAsia="宋体" w:cs="Times New Roman"/>
          <w:kern w:val="2"/>
          <w:szCs w:val="22"/>
          <w:lang w:val="en-US" w:eastAsia="zh-CN"/>
        </w:rPr>
        <w:t>要求，提前备齐相关证明。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 w:cs="Times New Roman"/>
          <w:b/>
          <w:bCs/>
          <w:kern w:val="2"/>
          <w:szCs w:val="22"/>
          <w:lang w:val="en-US" w:eastAsia="zh-CN"/>
        </w:rPr>
      </w:pPr>
      <w:r>
        <w:rPr>
          <w:rFonts w:hint="eastAsia" w:eastAsia="宋体" w:cs="Times New Roman"/>
          <w:b/>
          <w:bCs/>
          <w:kern w:val="2"/>
          <w:szCs w:val="22"/>
          <w:lang w:val="en-US" w:eastAsia="zh-CN"/>
        </w:rPr>
        <w:t>十二、公告中的内容和要求以最终的谈判文件为准。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textAlignment w:val="auto"/>
        <w:rPr>
          <w:rFonts w:hint="eastAsia" w:cs="Times New Roman"/>
          <w:kern w:val="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textAlignment w:val="auto"/>
        <w:outlineLvl w:val="0"/>
        <w:rPr>
          <w:rFonts w:cs="Times New Roman"/>
          <w:kern w:val="2"/>
          <w:szCs w:val="22"/>
        </w:rPr>
      </w:pPr>
      <w:bookmarkStart w:id="6" w:name="_Toc26722"/>
      <w:r>
        <w:rPr>
          <w:rFonts w:hint="eastAsia" w:cs="Times New Roman"/>
          <w:kern w:val="2"/>
          <w:szCs w:val="22"/>
        </w:rPr>
        <w:t>山东济钢</w:t>
      </w:r>
      <w:r>
        <w:rPr>
          <w:rFonts w:cs="Times New Roman"/>
          <w:kern w:val="2"/>
          <w:szCs w:val="22"/>
        </w:rPr>
        <w:t>环保新材料有限公司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cs="Times New Roman"/>
          <w:kern w:val="2"/>
          <w:szCs w:val="22"/>
          <w:highlight w:val="yellow"/>
        </w:rPr>
      </w:pPr>
      <w:r>
        <w:rPr>
          <w:rFonts w:hint="eastAsia" w:cs="Times New Roman"/>
          <w:kern w:val="2"/>
          <w:szCs w:val="22"/>
          <w:highlight w:val="yellow"/>
          <w:lang w:val="en-US" w:eastAsia="zh-CN"/>
        </w:rPr>
        <w:t>2024</w:t>
      </w:r>
      <w:r>
        <w:rPr>
          <w:rFonts w:hint="eastAsia" w:cs="Times New Roman"/>
          <w:kern w:val="2"/>
          <w:szCs w:val="22"/>
          <w:highlight w:val="yellow"/>
          <w:lang w:eastAsia="zh-CN"/>
        </w:rPr>
        <w:t>年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7</w:t>
      </w:r>
      <w:r>
        <w:rPr>
          <w:rFonts w:cs="Times New Roman"/>
          <w:kern w:val="2"/>
          <w:szCs w:val="22"/>
          <w:highlight w:val="yellow"/>
        </w:rPr>
        <w:t>月</w:t>
      </w:r>
      <w:r>
        <w:rPr>
          <w:rFonts w:hint="eastAsia" w:cs="Times New Roman"/>
          <w:kern w:val="2"/>
          <w:szCs w:val="22"/>
          <w:highlight w:val="yellow"/>
          <w:lang w:val="en-US" w:eastAsia="zh-CN"/>
        </w:rPr>
        <w:t>8</w:t>
      </w:r>
      <w:r>
        <w:rPr>
          <w:rFonts w:cs="Times New Roman"/>
          <w:kern w:val="2"/>
          <w:szCs w:val="22"/>
          <w:highlight w:val="yellow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6"/>
          <w:szCs w:val="36"/>
        </w:rPr>
      </w:pPr>
    </w:p>
    <w:p>
      <w:pPr>
        <w:pStyle w:val="6"/>
        <w:rPr>
          <w:rFonts w:hint="eastAsia"/>
          <w:b/>
          <w:bCs/>
          <w:sz w:val="36"/>
          <w:szCs w:val="36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- 3 -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jExNWZlMWRjZGM0MmRiNTUzN2UxMjdjNWUyZWYifQ=="/>
  </w:docVars>
  <w:rsids>
    <w:rsidRoot w:val="708D4289"/>
    <w:rsid w:val="695D7C4F"/>
    <w:rsid w:val="708D4289"/>
    <w:rsid w:val="7C0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99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2024-07-08T00:47:00Z</dcterms:created>
  <dc:creator>侯其龙</dc:creator>
  <cp:lastModifiedBy>史美伟</cp:lastModifiedBy>
  <dcterms:modified xsi:type="dcterms:W3CDTF">2024-07-08T02:22:10Z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1C0AD10511FB4C77B7DD7ED01D724CF2_11</vt:lpwstr>
  </property>
</Properties>
</file>